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72 vom 27. September 2017</w:t>
      </w:r>
    </w:p>
    <w:p>
      <w:r>
        <w:t>BL Gerichte, 2017-09-27, DE</w:t>
      </w:r>
    </w:p>
    <w:p>
      <w:r>
        <w:rPr>
          <w:b/>
        </w:rPr>
        <w:t xml:space="preserve">Quelle: </w:t>
      </w:r>
      <w:r>
        <w:t>https://mcp.opencaselaw.ch/entscheid/bl_gerichte_810 17 72</w:t>
      </w:r>
    </w:p>
    <w:p>
      <w:r>
        <w:t>FR: BL_GERICHTE 810 17 72 du 27 septembre 2017</w:t>
      </w:r>
    </w:p>
    <w:p>
      <w:r>
        <w:t>IT: BL_GERICHTE 810 17 72 del 27 settembre 2017</w:t>
      </w:r>
    </w:p>
    <w:p>
      <w:pPr>
        <w:pStyle w:val="Heading2"/>
      </w:pPr>
      <w:r>
        <w:t>Regeste</w:t>
      </w:r>
    </w:p>
    <w:p>
      <w:r>
        <w:t>Demontage Überwachungskamera und Mikrophone; Reben und Klettergerüst (RRB Nr. 0342 vom 14. März 2017)</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wird durch den angefochtenen Entscheid berührt und hat ein schutzwürdiges Interesse an dessen Aufhebung (§ 47 Abs. 1 lit. a VPO). Auch die weiteren formellen Voraussetzungen sind erfüllt, sodass auf die Beschwerde einzutreten ist. Die Beschwerdeführerin ist demgegenüber nicht Adressatin des angefochtenen Entscheids und sie war auch nicht Partei im vorinstanzlichen Beschwerdeverfahren. Da die Beschwerde des Beschwerdeführers identisch ist mit der Beschwerde der Beschwerdeführerin, kann indessen vorliegend offenbleiben, ob auf die Beschwerde der Beschwerdeführerin ebenfalls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Dem Beschwerdeführer wird ein Verfahrenskostenanteil in der Höhe von Fr. 1'000.-- auferlegt und mit dem geleisteten Kostenvorschuss in der Höhe von Fr. 1'400.-- verrechnet. Der zu viel bezahlte Kostenvorschuss in der Höhe von Fr. 400.-- wird dem Beschwerdeführer zurückerstattet.</w:t>
      </w:r>
    </w:p>
    <w:p>
      <w:r>
        <w:rPr>
          <w:b/>
        </w:rPr>
        <w:t>E. 4</w:t>
      </w:r>
    </w:p>
    <w:p>
      <w:r>
        <w:t>Die Parteikosten werden wettgeschlagen. Präsidentin Gerichtsschreiber i.V. Gegen diesen Entscheid wurde am 8. Januar 2018 Beschwerde beim Bundesgericht (Verfahrensnummer 1C_7/2018)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